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planuje zainwestować na polskim wybrzeżu 5 mld złotych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Firmus Group ukończył siódmy już projekt realizowany w Mielnie. W efekcie w tym mieście oddał już do użytkowania łącznie ponad 210 luksusowych apartamentów i penthouse’ów. Obecnie deweloper realizuje kolejne inwestycje, w ramach których już w tym roku powstanie 250 kolejnych luksusowych apartamentów. Strategia Firmus Group na kolejne lata zakłada spektakularny rozwój skali działalności. Firma planuje oddać do użytku 7 000 lokali mieszkalnych, 5 hoteli i ponad 100 000 mkw. nieruchomości komercyjnych, obejmujących także obiekty kulturalne i publiczne. Wartość tych inwestycji szacowana jest na 5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był bardzo udany dla Firmus Group, który jest niekwestionowanym liderem w branży deweloperskiej na polskim wybrzeżu. W maju 2016 r. firma ukończyła inwestycję </w:t>
      </w:r>
      <w:r>
        <w:rPr>
          <w:rFonts w:ascii="calibri" w:hAnsi="calibri" w:eastAsia="calibri" w:cs="calibri"/>
          <w:sz w:val="24"/>
          <w:szCs w:val="24"/>
          <w:b/>
        </w:rPr>
        <w:t xml:space="preserve">Rezydencja Park Rodzinna I</w:t>
      </w:r>
      <w:r>
        <w:rPr>
          <w:rFonts w:ascii="calibri" w:hAnsi="calibri" w:eastAsia="calibri" w:cs="calibri"/>
          <w:sz w:val="24"/>
          <w:szCs w:val="24"/>
        </w:rPr>
        <w:t xml:space="preserve">, zlokalizowaną w Mielnie zaledwie 150 metrów od morza. Był to jednocześnie siódmy z kolei projekt zrealizowany w tym turystycznym mieście. W efekcie Firmus Group w Mielnie oddał już do użytkowania łącznie ponad 210 luksusowych apartamentów i penthouse’ów.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Apartamentowiec w ramach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Rezydencja Park Rodzinna I</w:t>
      </w:r>
      <w:r>
        <w:rPr>
          <w:rFonts w:ascii="calibri" w:hAnsi="calibri" w:eastAsia="calibri" w:cs="calibri"/>
          <w:sz w:val="24"/>
          <w:szCs w:val="24"/>
        </w:rPr>
        <w:t xml:space="preserve"> został zaprojektowany i zbudowany z myślą o rodzinach z dziećmi. Duże zainteresowanie pierwszym etapem sprawiło, że zaraz po zakończeniu budowy inwestor rozpoczął prace budowlane związane z drugim budynkiem. W czerwcu ruszyła więc budowa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Rezydencja Park Rodzinna II,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85 % apartamentów w ramach projektu zostało już sprzedanych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prowadzona była także budowa budynków </w:t>
      </w:r>
      <w:r>
        <w:rPr>
          <w:rFonts w:ascii="calibri" w:hAnsi="calibri" w:eastAsia="calibri" w:cs="calibri"/>
          <w:sz w:val="24"/>
          <w:szCs w:val="24"/>
          <w:b/>
        </w:rPr>
        <w:t xml:space="preserve">Dune B i C</w:t>
      </w:r>
      <w:r>
        <w:rPr>
          <w:rFonts w:ascii="calibri" w:hAnsi="calibri" w:eastAsia="calibri" w:cs="calibri"/>
          <w:sz w:val="24"/>
          <w:szCs w:val="24"/>
        </w:rPr>
        <w:t xml:space="preserve"> w ramach prestiżowej inwestycji Dune Resort. W listopadzie deweloper świętował </w:t>
      </w:r>
      <w:r>
        <w:rPr>
          <w:rFonts w:ascii="calibri" w:hAnsi="calibri" w:eastAsia="calibri" w:cs="calibri"/>
          <w:sz w:val="24"/>
          <w:szCs w:val="24"/>
          <w:b/>
        </w:rPr>
        <w:t xml:space="preserve">zawieszenie wiechy na budynku Dune B</w:t>
      </w:r>
      <w:r>
        <w:rPr>
          <w:rFonts w:ascii="calibri" w:hAnsi="calibri" w:eastAsia="calibri" w:cs="calibri"/>
          <w:sz w:val="24"/>
          <w:szCs w:val="24"/>
        </w:rPr>
        <w:t xml:space="preserve">. W powstających budynkach etapu B i C, należących do luksusowego kompleksu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już blisko 75%</w:t>
      </w:r>
      <w:r>
        <w:rPr>
          <w:rFonts w:ascii="calibri" w:hAnsi="calibri" w:eastAsia="calibri" w:cs="calibri"/>
          <w:sz w:val="24"/>
          <w:szCs w:val="24"/>
        </w:rPr>
        <w:t xml:space="preserve"> dostępnych apartamentów. </w:t>
      </w:r>
      <w:r>
        <w:rPr>
          <w:rFonts w:ascii="calibri" w:hAnsi="calibri" w:eastAsia="calibri" w:cs="calibri"/>
          <w:sz w:val="24"/>
          <w:szCs w:val="24"/>
          <w:b/>
        </w:rPr>
        <w:t xml:space="preserve">Cena najdroższego apartamentu dwupokojowego sprzedanego w 2016 roku wyniosła 26,5 tys.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sukcesem Firmus Group było także rozpoczęcie budowy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projektu w Koszalinie – Osiedla Norweskiego</w:t>
      </w:r>
      <w:r>
        <w:rPr>
          <w:rFonts w:ascii="calibri" w:hAnsi="calibri" w:eastAsia="calibri" w:cs="calibri"/>
          <w:sz w:val="24"/>
          <w:szCs w:val="24"/>
        </w:rPr>
        <w:t xml:space="preserve">. Plan inwestycji przewiduje budowę </w:t>
      </w:r>
      <w:r>
        <w:rPr>
          <w:rFonts w:ascii="calibri" w:hAnsi="calibri" w:eastAsia="calibri" w:cs="calibri"/>
          <w:sz w:val="24"/>
          <w:szCs w:val="24"/>
          <w:b/>
        </w:rPr>
        <w:t xml:space="preserve">48 domów jednorodzinnych</w:t>
      </w:r>
      <w:r>
        <w:rPr>
          <w:rFonts w:ascii="calibri" w:hAnsi="calibri" w:eastAsia="calibri" w:cs="calibri"/>
          <w:sz w:val="24"/>
          <w:szCs w:val="24"/>
        </w:rPr>
        <w:t xml:space="preserve"> o zróżnicowanej powierzchni. Osiedle będzie realizowane w etapach, a zakończenie prac pierwszego z nich zaplanowano na wczesną wiosnę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„Miło jest obserwować, że to co tworzymy jest doceniane przez rynek. 16 lat temu rozpoczęliśmy inwestować w Mielnie jako pionierzy. Dziś rynek zaczyna wierzyć w nasze plany uczynienia z Mielna wyjątkowej destynacji w Europie Środkowej. Doceniamy fakt, że nasi klienci to głównie osoby z Polski, i że ta tendencja się utrzymuje ”</w:t>
      </w:r>
      <w:r>
        <w:rPr>
          <w:rFonts w:ascii="calibri" w:hAnsi="calibri" w:eastAsia="calibri" w:cs="calibri"/>
          <w:sz w:val="24"/>
          <w:szCs w:val="24"/>
        </w:rPr>
        <w:t xml:space="preserve"> – mówi Stein Christian Knutsen, Prezes Zarządu w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Najważniejszymi zadaniami na 2017 rok jest </w:t>
      </w:r>
      <w:r>
        <w:rPr>
          <w:rFonts w:ascii="calibri" w:hAnsi="calibri" w:eastAsia="calibri" w:cs="calibri"/>
          <w:sz w:val="24"/>
          <w:szCs w:val="24"/>
          <w:b/>
        </w:rPr>
        <w:t xml:space="preserve">ukończenie budowy prestiżowego kompleksu Dune Resort (Dune B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Dune C) oraz drugiego etapu Rezydencji Park Rodzinnej</w:t>
      </w:r>
      <w:r>
        <w:rPr>
          <w:rFonts w:ascii="calibri" w:hAnsi="calibri" w:eastAsia="calibri" w:cs="calibri"/>
          <w:sz w:val="24"/>
          <w:szCs w:val="24"/>
        </w:rPr>
        <w:t xml:space="preserve">. W efekcie w tym roku deweloper planuje przekazanie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250 </w:t>
      </w:r>
      <w:r>
        <w:rPr>
          <w:rFonts w:ascii="calibri" w:hAnsi="calibri" w:eastAsia="calibri" w:cs="calibri"/>
          <w:sz w:val="24"/>
          <w:szCs w:val="24"/>
        </w:rPr>
        <w:t xml:space="preserve">apartamentów, co zapewni podwojenie liczby oddanych do użytku lokali. Kontynuowana będzie również realizacja pierwszego projektu w Koszalinie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Norweskie. </w:t>
      </w:r>
      <w:r>
        <w:rPr>
          <w:rFonts w:ascii="calibri" w:hAnsi="calibri" w:eastAsia="calibri" w:cs="calibri"/>
          <w:sz w:val="24"/>
          <w:szCs w:val="24"/>
        </w:rPr>
        <w:t xml:space="preserve">Łączna wartość obecnie realizowanych projektów wynosi </w:t>
      </w:r>
      <w:r>
        <w:rPr>
          <w:rFonts w:ascii="calibri" w:hAnsi="calibri" w:eastAsia="calibri" w:cs="calibri"/>
          <w:sz w:val="24"/>
          <w:szCs w:val="24"/>
          <w:b/>
        </w:rPr>
        <w:t xml:space="preserve">174 mln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kolejnych latach planowane jest rozpoczęcie budowy pierwszego w Polsce miasteczka turystyczno-konferencyjnego </w:t>
      </w:r>
      <w:r>
        <w:rPr>
          <w:rFonts w:ascii="calibri" w:hAnsi="calibri" w:eastAsia="calibri" w:cs="calibri"/>
          <w:sz w:val="24"/>
          <w:szCs w:val="24"/>
          <w:b/>
        </w:rPr>
        <w:t xml:space="preserve">Dune City</w:t>
      </w:r>
      <w:r>
        <w:rPr>
          <w:rFonts w:ascii="calibri" w:hAnsi="calibri" w:eastAsia="calibri" w:cs="calibri"/>
          <w:sz w:val="24"/>
          <w:szCs w:val="24"/>
        </w:rPr>
        <w:t xml:space="preserve">. W ramach pierwszego etapu inwestycji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Hotel z 300-400 pokojami, kompleksem sal konferencyjnych, zapleczem gastronomicznym i centrum SPA &amp; Wellness</w:t>
      </w:r>
      <w:r>
        <w:rPr>
          <w:rFonts w:ascii="calibri" w:hAnsi="calibri" w:eastAsia="calibri" w:cs="calibri"/>
          <w:sz w:val="24"/>
          <w:szCs w:val="24"/>
        </w:rPr>
        <w:t xml:space="preserve">. Realizacja całego kompleksu będzie składała się z wielu etapów. Docelowo łącznie w obrębie całej inwestycji powstanie ok. </w:t>
      </w:r>
      <w:r>
        <w:rPr>
          <w:rFonts w:ascii="calibri" w:hAnsi="calibri" w:eastAsia="calibri" w:cs="calibri"/>
          <w:sz w:val="24"/>
          <w:szCs w:val="24"/>
          <w:b/>
        </w:rPr>
        <w:t xml:space="preserve">10 tys. miejsc noclegowych</w:t>
      </w:r>
      <w:r>
        <w:rPr>
          <w:rFonts w:ascii="calibri" w:hAnsi="calibri" w:eastAsia="calibri" w:cs="calibri"/>
          <w:sz w:val="24"/>
          <w:szCs w:val="24"/>
        </w:rPr>
        <w:t xml:space="preserve">. Wartość tych inwestycji szacowana jest na około 5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2025-12-10T18:00:54+01:00</dcterms:created>
  <dcterms:modified xsi:type="dcterms:W3CDTF">2025-12-10T18:00:54+01:00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